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B47124" w:rsidRDefault="00B47124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«Экономическое развитие и повышение инвестиционной привлекательности Бейского муниципального района Республики Хакасия на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B47124" w:rsidRPr="00693D37" w:rsidRDefault="00B47124" w:rsidP="00B47124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«15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B47124" w:rsidRDefault="00693D37" w:rsidP="00B47124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 (далее – «о</w:t>
      </w:r>
      <w:r w:rsidR="00B47124">
        <w:rPr>
          <w:rFonts w:eastAsia="Times New Roman"/>
          <w:lang w:eastAsia="ru-RU"/>
        </w:rPr>
        <w:t>рган-разработчик»):</w:t>
      </w:r>
    </w:p>
    <w:p w:rsidR="00693D37" w:rsidRPr="00AF0E1E" w:rsidRDefault="00B47124" w:rsidP="00693D37">
      <w:pPr>
        <w:spacing w:line="228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AF0E1E" w:rsidRPr="00F86534" w:rsidRDefault="00AF0E1E" w:rsidP="00AF0E1E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AF0E1E" w:rsidRPr="00D1385B" w:rsidRDefault="00AF0E1E" w:rsidP="00AF0E1E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AF0E1E" w:rsidRPr="00693D37" w:rsidRDefault="00AF0E1E" w:rsidP="00AF0E1E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AF0E1E" w:rsidRPr="00693D37" w:rsidRDefault="00AF0E1E" w:rsidP="00AF0E1E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693D37" w:rsidRDefault="00693D37" w:rsidP="0043529F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43529F" w:rsidRPr="00693D37" w:rsidRDefault="0043529F" w:rsidP="0043529F">
      <w:pPr>
        <w:spacing w:line="240" w:lineRule="auto"/>
        <w:jc w:val="center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43529F" w:rsidRPr="00693D37" w:rsidRDefault="0043529F" w:rsidP="0043529F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43529F" w:rsidRPr="00693D37" w:rsidRDefault="0043529F" w:rsidP="0043529F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43529F" w:rsidRPr="00693D37" w:rsidTr="00857A2D">
        <w:tc>
          <w:tcPr>
            <w:tcW w:w="706" w:type="dxa"/>
            <w:shd w:val="clear" w:color="auto" w:fill="auto"/>
          </w:tcPr>
          <w:p w:rsidR="0043529F" w:rsidRPr="00693D37" w:rsidRDefault="0043529F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43529F" w:rsidRPr="00693D37" w:rsidRDefault="0043529F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43529F" w:rsidRPr="00693D37" w:rsidRDefault="0043529F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43529F" w:rsidRPr="00693D37" w:rsidTr="00857A2D">
        <w:tc>
          <w:tcPr>
            <w:tcW w:w="706" w:type="dxa"/>
            <w:shd w:val="clear" w:color="auto" w:fill="auto"/>
          </w:tcPr>
          <w:p w:rsidR="0043529F" w:rsidRPr="00693D37" w:rsidRDefault="0043529F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43529F" w:rsidRPr="00693D37" w:rsidRDefault="0043529F" w:rsidP="0043529F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</w:t>
            </w:r>
            <w:r>
              <w:rPr>
                <w:rFonts w:eastAsia="Times New Roman"/>
                <w:lang w:eastAsia="ru-RU"/>
              </w:rPr>
              <w:t>ьной программы, направленной на эк</w:t>
            </w:r>
            <w:r w:rsidRPr="0043529F">
              <w:rPr>
                <w:rFonts w:eastAsia="Times New Roman"/>
                <w:lang w:eastAsia="ru-RU"/>
              </w:rPr>
              <w:t>ономическое развитие и повышение инвестиционной привлекательности Бейского муниципального района Республики Хакасия на 2026-2031 годы»</w:t>
            </w:r>
          </w:p>
        </w:tc>
        <w:tc>
          <w:tcPr>
            <w:tcW w:w="5312" w:type="dxa"/>
            <w:shd w:val="clear" w:color="auto" w:fill="auto"/>
          </w:tcPr>
          <w:p w:rsidR="0043529F" w:rsidRPr="0043529F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разрушение</w:t>
            </w:r>
            <w:r w:rsidRPr="0043529F">
              <w:rPr>
                <w:rFonts w:eastAsia="Times New Roman"/>
                <w:lang w:eastAsia="ru-RU"/>
              </w:rPr>
              <w:t xml:space="preserve"> имиджа территории как современной экономической площадки, соответствующей стандартам ведения бизнеса;</w:t>
            </w:r>
          </w:p>
          <w:p w:rsidR="0043529F" w:rsidRPr="0043529F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43529F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43529F">
              <w:rPr>
                <w:rFonts w:eastAsia="Times New Roman"/>
                <w:lang w:eastAsia="ru-RU"/>
              </w:rPr>
              <w:t xml:space="preserve"> системы, обеспечивающей эффективное взаимодействие муниципальных органов управления со всеми участниками инвестиционной деятельности;</w:t>
            </w:r>
          </w:p>
          <w:p w:rsidR="0043529F" w:rsidRPr="0043529F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43529F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ухудшение</w:t>
            </w:r>
            <w:r w:rsidRPr="0043529F">
              <w:rPr>
                <w:rFonts w:eastAsia="Times New Roman"/>
                <w:lang w:eastAsia="ru-RU"/>
              </w:rPr>
              <w:t xml:space="preserve"> правового регулирования в сфере торговли;</w:t>
            </w:r>
          </w:p>
          <w:p w:rsidR="0043529F" w:rsidRPr="0043529F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43529F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43529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реализации современных программ</w:t>
            </w:r>
            <w:r w:rsidRPr="0043529F">
              <w:rPr>
                <w:rFonts w:eastAsia="Times New Roman"/>
                <w:lang w:eastAsia="ru-RU"/>
              </w:rPr>
              <w:t xml:space="preserve"> переподготовки и повышения квалификации кадров муниципальной и не муниципальной службы;</w:t>
            </w:r>
          </w:p>
          <w:p w:rsidR="0043529F" w:rsidRPr="0043529F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43529F">
              <w:rPr>
                <w:rFonts w:eastAsia="Times New Roman"/>
                <w:lang w:eastAsia="ru-RU"/>
              </w:rPr>
              <w:lastRenderedPageBreak/>
              <w:t xml:space="preserve">- </w:t>
            </w:r>
            <w:r>
              <w:rPr>
                <w:rFonts w:eastAsia="Times New Roman"/>
                <w:lang w:eastAsia="ru-RU"/>
              </w:rPr>
              <w:t>ухудшение</w:t>
            </w:r>
            <w:r w:rsidRPr="0043529F">
              <w:rPr>
                <w:rFonts w:eastAsia="Times New Roman"/>
                <w:lang w:eastAsia="ru-RU"/>
              </w:rPr>
              <w:t xml:space="preserve"> сист</w:t>
            </w:r>
            <w:r>
              <w:rPr>
                <w:rFonts w:eastAsia="Times New Roman"/>
                <w:lang w:eastAsia="ru-RU"/>
              </w:rPr>
              <w:t xml:space="preserve">емы управления охраной труда в </w:t>
            </w:r>
            <w:r w:rsidRPr="0043529F">
              <w:rPr>
                <w:rFonts w:eastAsia="Times New Roman"/>
                <w:lang w:eastAsia="ru-RU"/>
              </w:rPr>
              <w:t xml:space="preserve">организациях;                                             </w:t>
            </w:r>
          </w:p>
          <w:p w:rsidR="0043529F" w:rsidRPr="00693D37" w:rsidRDefault="0043529F" w:rsidP="0043529F">
            <w:pPr>
              <w:spacing w:line="228" w:lineRule="auto"/>
              <w:rPr>
                <w:rFonts w:eastAsia="Times New Roman"/>
                <w:lang w:eastAsia="ru-RU"/>
              </w:rPr>
            </w:pPr>
            <w:r w:rsidRPr="0043529F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снижение</w:t>
            </w:r>
            <w:r w:rsidRPr="0043529F">
              <w:rPr>
                <w:rFonts w:eastAsia="Times New Roman"/>
                <w:lang w:eastAsia="ru-RU"/>
              </w:rPr>
              <w:t xml:space="preserve"> уровня социальной ответственности и правовой грамотности населения и хозяйствующих субъектов, работающих на потребительском рынке</w:t>
            </w:r>
          </w:p>
        </w:tc>
      </w:tr>
    </w:tbl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</w:p>
    <w:p w:rsidR="0043529F" w:rsidRDefault="0043529F" w:rsidP="0043529F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43529F" w:rsidRPr="00693D37" w:rsidRDefault="0043529F" w:rsidP="0043529F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43529F" w:rsidRPr="00693D37" w:rsidTr="00857A2D">
        <w:tc>
          <w:tcPr>
            <w:tcW w:w="2398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0B4D3D" w:rsidRPr="00693D37" w:rsidTr="00665137">
        <w:tc>
          <w:tcPr>
            <w:tcW w:w="2398" w:type="dxa"/>
            <w:shd w:val="clear" w:color="auto" w:fill="auto"/>
          </w:tcPr>
          <w:p w:rsidR="000B4D3D" w:rsidRPr="00693D37" w:rsidRDefault="000B4D3D" w:rsidP="000B4D3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эк</w:t>
            </w:r>
            <w:r w:rsidRPr="0043529F">
              <w:rPr>
                <w:rFonts w:eastAsia="Times New Roman"/>
                <w:lang w:eastAsia="ru-RU"/>
              </w:rPr>
              <w:t>ономическое развитие и повышение инвестиционной привлекательности Бейского муниципального района Республики Хакасия на 2026-2031 годы»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0B4D3D" w:rsidRPr="00693D37" w:rsidRDefault="000B4D3D" w:rsidP="000B4D3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0B4D3D" w:rsidRPr="00693D37" w:rsidRDefault="000B4D3D" w:rsidP="000B4D3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43529F" w:rsidRPr="00693D37" w:rsidRDefault="0043529F" w:rsidP="0043529F">
      <w:pPr>
        <w:spacing w:line="240" w:lineRule="exact"/>
        <w:rPr>
          <w:rFonts w:eastAsia="Times New Roman"/>
          <w:b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43529F" w:rsidRDefault="0043529F" w:rsidP="0043529F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43529F" w:rsidRPr="00693D37" w:rsidRDefault="0043529F" w:rsidP="0043529F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43529F" w:rsidRPr="00693D37" w:rsidTr="00857A2D">
        <w:tc>
          <w:tcPr>
            <w:tcW w:w="4253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0B4D3D" w:rsidRPr="00693D37" w:rsidTr="00AD0094">
        <w:tc>
          <w:tcPr>
            <w:tcW w:w="4253" w:type="dxa"/>
            <w:shd w:val="clear" w:color="auto" w:fill="auto"/>
          </w:tcPr>
          <w:p w:rsidR="000B4D3D" w:rsidRPr="00693D37" w:rsidRDefault="000B4D3D" w:rsidP="000B4D3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эк</w:t>
            </w:r>
            <w:r w:rsidRPr="0043529F">
              <w:rPr>
                <w:rFonts w:eastAsia="Times New Roman"/>
                <w:lang w:eastAsia="ru-RU"/>
              </w:rPr>
              <w:t>ономическое развитие и повышение инвестиционной привлекательности Бейского муниципального района Республики Хакасия на 2026-2031 годы»</w:t>
            </w:r>
          </w:p>
        </w:tc>
        <w:tc>
          <w:tcPr>
            <w:tcW w:w="5103" w:type="dxa"/>
            <w:shd w:val="clear" w:color="auto" w:fill="auto"/>
          </w:tcPr>
          <w:p w:rsidR="000B4D3D" w:rsidRPr="00693D37" w:rsidRDefault="000B4D3D" w:rsidP="000B4D3D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0B4D3D">
              <w:rPr>
                <w:rFonts w:eastAsia="Times New Roman"/>
                <w:lang w:eastAsia="ru-RU"/>
              </w:rPr>
              <w:t>«Экономическое развитие и повышение инвестиционной привлекательности Бейского муниципального района Республики Хакасия на 2026-2031 годы»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</w:p>
    <w:p w:rsidR="0043529F" w:rsidRPr="00923E68" w:rsidRDefault="0043529F" w:rsidP="0043529F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43529F" w:rsidRPr="00693D37" w:rsidRDefault="0043529F" w:rsidP="0043529F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</w:p>
    <w:p w:rsidR="0043529F" w:rsidRPr="000B0BF2" w:rsidRDefault="0043529F" w:rsidP="0043529F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</w:t>
      </w:r>
      <w:r w:rsidR="000B4D3D">
        <w:rPr>
          <w:rFonts w:eastAsia="Times New Roman"/>
          <w:u w:val="single"/>
          <w:lang w:eastAsia="ru-RU"/>
        </w:rPr>
        <w:t xml:space="preserve">рждает муниципальную программу </w:t>
      </w:r>
      <w:r w:rsidR="000B4D3D" w:rsidRPr="000B4D3D">
        <w:rPr>
          <w:rFonts w:eastAsia="Times New Roman"/>
          <w:u w:val="single"/>
          <w:lang w:eastAsia="ru-RU"/>
        </w:rPr>
        <w:t>«Экономическое развитие и повышение инвестиционной привлекательности Бейского муниципального района Республики Хакасия на 2026-2031 годы»</w:t>
      </w:r>
      <w:r w:rsidR="000B4D3D">
        <w:rPr>
          <w:rFonts w:eastAsia="Times New Roman"/>
          <w:u w:val="single"/>
          <w:lang w:eastAsia="ru-RU"/>
        </w:rPr>
        <w:t>.</w:t>
      </w:r>
      <w:bookmarkStart w:id="0" w:name="_GoBack"/>
      <w:bookmarkEnd w:id="0"/>
    </w:p>
    <w:p w:rsidR="0043529F" w:rsidRPr="00693D37" w:rsidRDefault="0043529F" w:rsidP="0043529F">
      <w:pPr>
        <w:spacing w:line="240" w:lineRule="auto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43529F" w:rsidRDefault="0043529F" w:rsidP="0043529F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43529F" w:rsidRPr="00693D37" w:rsidRDefault="0043529F" w:rsidP="0043529F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43529F" w:rsidRPr="00693D37" w:rsidTr="00857A2D">
        <w:tc>
          <w:tcPr>
            <w:tcW w:w="2977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43529F" w:rsidRPr="00693D37" w:rsidTr="00857A2D">
        <w:tc>
          <w:tcPr>
            <w:tcW w:w="2977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43529F" w:rsidRPr="00693D37" w:rsidRDefault="0043529F" w:rsidP="0043529F">
      <w:pPr>
        <w:spacing w:line="240" w:lineRule="exact"/>
        <w:rPr>
          <w:rFonts w:eastAsia="Times New Roman"/>
          <w:b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43529F" w:rsidRPr="00693D37" w:rsidRDefault="0043529F" w:rsidP="0043529F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43529F" w:rsidRPr="00693D37" w:rsidRDefault="0043529F" w:rsidP="0043529F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43529F" w:rsidRPr="00693D37" w:rsidRDefault="0043529F" w:rsidP="0043529F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43529F" w:rsidRPr="000C6989" w:rsidRDefault="0043529F" w:rsidP="0043529F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43529F" w:rsidRPr="00693D37" w:rsidRDefault="0043529F" w:rsidP="0043529F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43529F" w:rsidRPr="00693D37" w:rsidRDefault="0043529F" w:rsidP="0043529F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43529F" w:rsidRPr="00693D37" w:rsidRDefault="0043529F" w:rsidP="0043529F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43529F" w:rsidRDefault="0043529F" w:rsidP="0043529F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43529F" w:rsidRPr="00693D37" w:rsidRDefault="0043529F" w:rsidP="0043529F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43529F" w:rsidRPr="00693D37" w:rsidTr="00857A2D">
        <w:tc>
          <w:tcPr>
            <w:tcW w:w="7371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43529F" w:rsidRPr="00693D37" w:rsidRDefault="0043529F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43529F" w:rsidRPr="00693D37" w:rsidTr="00857A2D">
        <w:tc>
          <w:tcPr>
            <w:tcW w:w="7371" w:type="dxa"/>
            <w:shd w:val="clear" w:color="auto" w:fill="auto"/>
          </w:tcPr>
          <w:p w:rsidR="0043529F" w:rsidRPr="00693D37" w:rsidRDefault="0043529F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43529F" w:rsidRPr="00693D37" w:rsidRDefault="0043529F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</w:t>
            </w:r>
            <w:r w:rsidRPr="00693D37">
              <w:rPr>
                <w:rFonts w:eastAsia="Times New Roman"/>
                <w:lang w:eastAsia="ru-RU"/>
              </w:rPr>
              <w:lastRenderedPageBreak/>
              <w:t>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29F" w:rsidRPr="00693D37" w:rsidRDefault="0043529F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соблюдён</w:t>
            </w:r>
          </w:p>
        </w:tc>
      </w:tr>
      <w:tr w:rsidR="0043529F" w:rsidRPr="00693D37" w:rsidTr="00857A2D">
        <w:tc>
          <w:tcPr>
            <w:tcW w:w="7371" w:type="dxa"/>
            <w:shd w:val="clear" w:color="auto" w:fill="auto"/>
          </w:tcPr>
          <w:p w:rsidR="0043529F" w:rsidRPr="00693D37" w:rsidRDefault="0043529F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Обоснованность</w:t>
            </w:r>
          </w:p>
          <w:p w:rsidR="0043529F" w:rsidRPr="00693D37" w:rsidRDefault="0043529F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43529F" w:rsidRPr="00693D37" w:rsidRDefault="0043529F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29F" w:rsidRDefault="0043529F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43529F" w:rsidRPr="00693D37" w:rsidTr="00857A2D">
        <w:tc>
          <w:tcPr>
            <w:tcW w:w="7371" w:type="dxa"/>
            <w:shd w:val="clear" w:color="auto" w:fill="auto"/>
          </w:tcPr>
          <w:p w:rsidR="0043529F" w:rsidRPr="00693D37" w:rsidRDefault="0043529F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Правовая определенность и системность</w:t>
            </w:r>
          </w:p>
          <w:p w:rsidR="0043529F" w:rsidRPr="00693D37" w:rsidRDefault="0043529F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29F" w:rsidRDefault="0043529F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43529F" w:rsidRPr="00693D37" w:rsidTr="00857A2D">
        <w:tc>
          <w:tcPr>
            <w:tcW w:w="7371" w:type="dxa"/>
            <w:shd w:val="clear" w:color="auto" w:fill="auto"/>
          </w:tcPr>
          <w:p w:rsidR="0043529F" w:rsidRPr="00693D37" w:rsidRDefault="0043529F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43529F" w:rsidRPr="00693D37" w:rsidRDefault="0043529F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29F" w:rsidRDefault="0043529F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43529F" w:rsidRPr="00693D37" w:rsidTr="00857A2D">
        <w:tc>
          <w:tcPr>
            <w:tcW w:w="7371" w:type="dxa"/>
            <w:shd w:val="clear" w:color="auto" w:fill="auto"/>
          </w:tcPr>
          <w:p w:rsidR="0043529F" w:rsidRDefault="0043529F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43529F" w:rsidRPr="005E6578" w:rsidRDefault="0043529F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29F" w:rsidRDefault="0043529F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43529F" w:rsidRDefault="0043529F" w:rsidP="0043529F">
      <w:pPr>
        <w:rPr>
          <w:rFonts w:eastAsia="Times New Roman"/>
          <w:lang w:eastAsia="ru-RU"/>
        </w:rPr>
      </w:pPr>
    </w:p>
    <w:p w:rsidR="0043529F" w:rsidRPr="00022FA8" w:rsidRDefault="0043529F" w:rsidP="0043529F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43529F" w:rsidRPr="00022FA8" w:rsidRDefault="0043529F" w:rsidP="0043529F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43529F" w:rsidRPr="00693D37" w:rsidRDefault="0043529F" w:rsidP="0043529F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sectPr w:rsidR="0043529F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97" w:rsidRDefault="008B4F97" w:rsidP="00693D37">
      <w:pPr>
        <w:spacing w:line="240" w:lineRule="auto"/>
      </w:pPr>
      <w:r>
        <w:separator/>
      </w:r>
    </w:p>
  </w:endnote>
  <w:endnote w:type="continuationSeparator" w:id="0">
    <w:p w:rsidR="008B4F97" w:rsidRDefault="008B4F97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97" w:rsidRDefault="008B4F97" w:rsidP="00693D37">
      <w:pPr>
        <w:spacing w:line="240" w:lineRule="auto"/>
      </w:pPr>
      <w:r>
        <w:separator/>
      </w:r>
    </w:p>
  </w:footnote>
  <w:footnote w:type="continuationSeparator" w:id="0">
    <w:p w:rsidR="008B4F97" w:rsidRDefault="008B4F97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0B4D3D"/>
    <w:rsid w:val="001B48A8"/>
    <w:rsid w:val="003D4FE9"/>
    <w:rsid w:val="0043529F"/>
    <w:rsid w:val="00693D37"/>
    <w:rsid w:val="00745258"/>
    <w:rsid w:val="008B4F97"/>
    <w:rsid w:val="00AF0E1E"/>
    <w:rsid w:val="00B47124"/>
    <w:rsid w:val="00D5368C"/>
    <w:rsid w:val="00E976ED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3A9C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7</cp:revision>
  <dcterms:created xsi:type="dcterms:W3CDTF">2025-11-17T07:43:00Z</dcterms:created>
  <dcterms:modified xsi:type="dcterms:W3CDTF">2025-11-18T03:55:00Z</dcterms:modified>
</cp:coreProperties>
</file>